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r>
        <w:t>Toelichting</w:t>
      </w:r>
    </w:p>
    <w:p>
      <w:r/>
    </w:p>
    <w:p>
      <w:r>
        <w:t>In 2024 staan 85 adressen geregistreerd als lid. De begroting vermeld dan ook een verwachte inkomsten aan contrubutie van  850 euro. De werkelijke ontvangen contributie in 2024 ligt hoger dan de begrote inkomsten aan contributie,  namelijk 947 euro. Dit bedrag valt te verklaren doordat in 2024:</w:t>
      </w:r>
    </w:p>
    <w:p>
      <w:r/>
    </w:p>
    <w:p>
      <w:pPr>
        <w:numPr>
          <w:ilvl w:val="0"/>
          <w:numId w:val="1"/>
        </w:numPr>
        <w:ind w:left="360" w:hanging="360"/>
      </w:pPr>
      <w:r>
        <w:t>In 2024 is 830 euro aan contributie is betaald voor het jaar 2024</w:t>
      </w:r>
    </w:p>
    <w:p>
      <w:pPr>
        <w:numPr>
          <w:ilvl w:val="0"/>
          <w:numId w:val="1"/>
        </w:numPr>
        <w:ind w:left="360" w:hanging="360"/>
      </w:pPr>
      <w:r>
        <w:t>In 2023 is een voorschot van 10,00 euro  aan contributie betaald voor het jaar 2024, deze staat niet als inkomsten voor 2024 bij de baten en lasten maar bij de baten en lasten van 2023</w:t>
      </w:r>
    </w:p>
    <w:p>
      <w:pPr>
        <w:numPr>
          <w:ilvl w:val="0"/>
          <w:numId w:val="1"/>
        </w:numPr>
        <w:ind w:left="360" w:hanging="360"/>
      </w:pPr>
      <w:r>
        <w:t xml:space="preserve">In 2025 is 10,00 aan contributie is betaald voor het jaar 2024, deze staat niet als inkomsten voor 2024 bij de baten en lasten, maar bij de baten en lasten voor 2025 </w:t>
      </w:r>
    </w:p>
    <w:p>
      <w:r/>
    </w:p>
    <w:p>
      <w:r>
        <w:t xml:space="preserve">Voor het jaar 2024 is dus in totaal 850 euro aan contributie betaald, wat overeenkomt met het aantal leden in 2024. </w:t>
      </w:r>
    </w:p>
    <w:p>
      <w:r/>
    </w:p>
    <w:p>
      <w:r>
        <w:t xml:space="preserve">Naast de verwachtte inkomsten aan contributie hebben 2 leden in 2024 teveel contributie betaald. Deze worden verrekend met de contributie voor het jaar 2025. </w:t>
      </w:r>
    </w:p>
    <w:p>
      <w:r/>
    </w:p>
    <w:p>
      <w:pPr>
        <w:numPr>
          <w:ilvl w:val="0"/>
          <w:numId w:val="1"/>
        </w:numPr>
        <w:ind w:left="360" w:hanging="360"/>
      </w:pPr>
      <w:r>
        <w:t>In 2024 is 90 euro aan achterstallige contributie vor het jaar 2023 betaald. Deze staan als inkomsten bij de baten en lasten van 2024</w:t>
      </w:r>
    </w:p>
    <w:p>
      <w:pPr>
        <w:numPr>
          <w:ilvl w:val="0"/>
          <w:numId w:val="1"/>
        </w:numPr>
        <w:ind w:left="360" w:hanging="360"/>
      </w:pPr>
      <w:r>
        <w:t xml:space="preserve">In 2024 is  7,50 aan achtstallig contributie voor het 2022 betaald. Deze kon niet op jaar 2022 worden geboekt vanwege een verkeerde ingangsdatum van dit lid namelijk in 2024 terwijl dit lid al langer lid is. Deze contributie is dan ook op het jaar 2024 geboekt. </w:t>
      </w:r>
    </w:p>
    <w:p>
      <w:r/>
    </w:p>
    <w:p>
      <w:r>
        <w:t>Naast deze contributie is dus ook 90 euro aan achterstallig contributie betaald. Op de balans wordt dit ook weergegeven doordat de debiteuren per 1-1-2024 van 110,00  euro zijn teruggebracht naar 20 euro.</w:t>
      </w:r>
    </w:p>
    <w:p>
      <w:r/>
    </w:p>
    <w:p>
      <w:r>
        <w:t>Schematisch kan dit als volgt worden weer gegeven|</w:t>
      </w:r>
    </w:p>
    <w:p>
      <w:r/>
    </w:p>
    <w:tbl>
      <w:tblPr>
        <w:tblStyle w:val="TableGrid"/>
        <w:name w:val="Tabel1"/>
        <w:tabOrder w:val="0"/>
        <w:jc w:val="left"/>
        <w:tblInd w:w="0" w:type="dxa"/>
        <w:tblW w:w="9640" w:type="dxa"/>
        <w:tblLook w:val="04A0" w:firstRow="1" w:lastRow="0" w:firstColumn="1" w:lastColumn="0" w:noHBand="0" w:noVBand="1"/>
      </w:tblPr>
      <w:tblGrid>
        <w:gridCol w:w="1359"/>
        <w:gridCol w:w="1957"/>
        <w:gridCol w:w="3162"/>
        <w:gridCol w:w="3162"/>
      </w:tblGrid>
      <w:tr>
        <w:trPr>
          <w:tblHeader w:val="0"/>
          <w:cantSplit w:val="0"/>
          <w:trHeight w:val="0" w:hRule="auto"/>
        </w:trPr>
        <w:tc>
          <w:tcPr>
            <w:tcW w:w="1359" w:type="dxa"/>
            <w:tmTcPr id="1742289843" protected="0"/>
          </w:tcPr>
          <w:p>
            <w:pPr/>
            <w:r>
              <w:t xml:space="preserve">Betaald in </w:t>
            </w:r>
          </w:p>
        </w:tc>
        <w:tc>
          <w:tcPr>
            <w:tcW w:w="1957" w:type="dxa"/>
            <w:tmTcPr id="1742289843" protected="0"/>
          </w:tcPr>
          <w:p>
            <w:pPr/>
            <w:r>
              <w:t>Voor het jaar</w:t>
            </w:r>
          </w:p>
        </w:tc>
        <w:tc>
          <w:tcPr>
            <w:tcW w:w="3162" w:type="dxa"/>
            <w:tmTcPr id="1742289843" protected="0"/>
          </w:tcPr>
          <w:p>
            <w:pPr/>
            <w:r>
              <w:t>Bedrag (totaal)</w:t>
            </w:r>
          </w:p>
        </w:tc>
        <w:tc>
          <w:tcPr>
            <w:tcW w:w="3162" w:type="dxa"/>
            <w:tmTcPr id="1742289843" protected="0"/>
          </w:tcPr>
          <w:p>
            <w:pPr/>
            <w:r>
              <w:t>Staat op baten en lasten van:</w:t>
            </w:r>
          </w:p>
        </w:tc>
      </w:tr>
      <w:tr>
        <w:trPr>
          <w:tblHeader w:val="0"/>
          <w:cantSplit w:val="0"/>
          <w:trHeight w:val="239" w:hRule="atLeast"/>
        </w:trPr>
        <w:tc>
          <w:tcPr>
            <w:tcW w:w="1359" w:type="dxa"/>
            <w:tmTcPr id="1742289843" protected="0"/>
          </w:tcPr>
          <w:p>
            <w:pPr/>
            <w:r>
              <w:t>2024</w:t>
            </w:r>
          </w:p>
        </w:tc>
        <w:tc>
          <w:tcPr>
            <w:tcW w:w="1957" w:type="dxa"/>
            <w:tmTcPr id="1742289843" protected="0"/>
          </w:tcPr>
          <w:p>
            <w:pPr/>
            <w:r>
              <w:t>2024</w:t>
            </w:r>
          </w:p>
        </w:tc>
        <w:tc>
          <w:tcPr>
            <w:tcW w:w="3162" w:type="dxa"/>
            <w:tmTcPr id="1742289843" protected="0"/>
          </w:tcPr>
          <w:p>
            <w:pPr/>
            <w:r>
              <w:t>830</w:t>
            </w:r>
          </w:p>
        </w:tc>
        <w:tc>
          <w:tcPr>
            <w:tcW w:w="3162" w:type="dxa"/>
            <w:tmTcPr id="1742289843" protected="0"/>
          </w:tcPr>
          <w:p>
            <w:pPr/>
            <w:r>
              <w:t>2024</w:t>
            </w:r>
          </w:p>
        </w:tc>
      </w:tr>
      <w:tr>
        <w:trPr>
          <w:tblHeader w:val="0"/>
          <w:cantSplit w:val="0"/>
          <w:trHeight w:val="0" w:hRule="auto"/>
        </w:trPr>
        <w:tc>
          <w:tcPr>
            <w:tcW w:w="1359" w:type="dxa"/>
            <w:tmTcPr id="1742289843" protected="0"/>
          </w:tcPr>
          <w:p>
            <w:pPr/>
            <w:r>
              <w:t>2024</w:t>
            </w:r>
          </w:p>
        </w:tc>
        <w:tc>
          <w:tcPr>
            <w:tcW w:w="1957" w:type="dxa"/>
            <w:tmTcPr id="1742289843" protected="0"/>
          </w:tcPr>
          <w:p>
            <w:pPr/>
            <w:r>
              <w:t>2025</w:t>
            </w:r>
          </w:p>
        </w:tc>
        <w:tc>
          <w:tcPr>
            <w:tcW w:w="3162" w:type="dxa"/>
            <w:tmTcPr id="1742289843" protected="0"/>
          </w:tcPr>
          <w:p>
            <w:pPr/>
            <w:r>
              <w:t>20</w:t>
            </w:r>
          </w:p>
        </w:tc>
        <w:tc>
          <w:tcPr>
            <w:tcW w:w="3162" w:type="dxa"/>
            <w:tmTcPr id="1742289843" protected="0"/>
          </w:tcPr>
          <w:p>
            <w:pPr/>
            <w:r>
              <w:t>2024</w:t>
            </w:r>
          </w:p>
        </w:tc>
      </w:tr>
      <w:tr>
        <w:trPr>
          <w:tblHeader w:val="0"/>
          <w:cantSplit w:val="0"/>
          <w:trHeight w:val="0" w:hRule="auto"/>
        </w:trPr>
        <w:tc>
          <w:tcPr>
            <w:tcW w:w="1359" w:type="dxa"/>
            <w:tmTcPr id="1742289843" protected="0"/>
          </w:tcPr>
          <w:p>
            <w:pPr/>
            <w:r>
              <w:t>2024</w:t>
            </w:r>
          </w:p>
        </w:tc>
        <w:tc>
          <w:tcPr>
            <w:tcW w:w="1957" w:type="dxa"/>
            <w:tmTcPr id="1742289843" protected="0"/>
          </w:tcPr>
          <w:p>
            <w:pPr/>
            <w:r>
              <w:t>2022</w:t>
            </w:r>
          </w:p>
        </w:tc>
        <w:tc>
          <w:tcPr>
            <w:tcW w:w="3162" w:type="dxa"/>
            <w:tmTcPr id="1742289843" protected="0"/>
          </w:tcPr>
          <w:p>
            <w:pPr/>
            <w:r>
              <w:t>7,50</w:t>
            </w:r>
          </w:p>
        </w:tc>
        <w:tc>
          <w:tcPr>
            <w:tcW w:w="3162" w:type="dxa"/>
            <w:tmTcPr id="1742289843" protected="0"/>
          </w:tcPr>
          <w:p>
            <w:pPr/>
            <w:r>
              <w:t>2024</w:t>
            </w:r>
          </w:p>
        </w:tc>
      </w:tr>
      <w:tr>
        <w:trPr>
          <w:tblHeader w:val="0"/>
          <w:cantSplit w:val="0"/>
          <w:trHeight w:val="0" w:hRule="auto"/>
        </w:trPr>
        <w:tc>
          <w:tcPr>
            <w:tcW w:w="1359" w:type="dxa"/>
            <w:tmTcPr id="1742289843" protected="0"/>
          </w:tcPr>
          <w:p>
            <w:pPr/>
            <w:r>
              <w:t>2024</w:t>
            </w:r>
          </w:p>
        </w:tc>
        <w:tc>
          <w:tcPr>
            <w:tcW w:w="1957" w:type="dxa"/>
            <w:tmTcPr id="1742289843" protected="0"/>
          </w:tcPr>
          <w:p>
            <w:pPr/>
            <w:r>
              <w:t>2023</w:t>
            </w:r>
          </w:p>
        </w:tc>
        <w:tc>
          <w:tcPr>
            <w:tcW w:w="3162" w:type="dxa"/>
            <w:tmTcPr id="1742289843" protected="0"/>
          </w:tcPr>
          <w:p>
            <w:pPr/>
            <w:r>
              <w:t>90</w:t>
            </w:r>
          </w:p>
        </w:tc>
        <w:tc>
          <w:tcPr>
            <w:tcW w:w="3162" w:type="dxa"/>
            <w:tmTcPr id="1742289843" protected="0"/>
          </w:tcPr>
          <w:p>
            <w:pPr/>
            <w:r>
              <w:t>2024</w:t>
            </w:r>
          </w:p>
        </w:tc>
      </w:tr>
      <w:tr>
        <w:trPr>
          <w:tblHeader w:val="0"/>
          <w:cantSplit w:val="0"/>
          <w:trHeight w:val="0" w:hRule="auto"/>
        </w:trPr>
        <w:tc>
          <w:tcPr>
            <w:tcW w:w="1359" w:type="dxa"/>
            <w:tmTcPr id="1742289843" protected="0"/>
          </w:tcPr>
          <w:p>
            <w:pPr/>
            <w:r/>
          </w:p>
        </w:tc>
        <w:tc>
          <w:tcPr>
            <w:tcW w:w="1957" w:type="dxa"/>
            <w:tmTcPr id="1742289843" protected="0"/>
          </w:tcPr>
          <w:p>
            <w:pPr/>
            <w:r>
              <w:t>Totaal ontvangen contributie 2024</w:t>
            </w:r>
          </w:p>
        </w:tc>
        <w:tc>
          <w:tcPr>
            <w:tcW w:w="3162" w:type="dxa"/>
            <w:tmTcPr id="1742289843" protected="0"/>
          </w:tcPr>
          <w:p>
            <w:pPr/>
            <w:r>
              <w:t>947,50</w:t>
            </w:r>
          </w:p>
        </w:tc>
        <w:tc>
          <w:tcPr>
            <w:tcW w:w="3162" w:type="dxa"/>
            <w:tmTcPr id="1742289843" protected="0"/>
          </w:tcPr>
          <w:p>
            <w:pPr/>
            <w:r>
              <w:t>2024</w:t>
            </w:r>
          </w:p>
        </w:tc>
      </w:tr>
      <w:tr>
        <w:trPr>
          <w:tblHeader w:val="0"/>
          <w:cantSplit w:val="0"/>
          <w:trHeight w:val="0" w:hRule="auto"/>
        </w:trPr>
        <w:tc>
          <w:tcPr>
            <w:tcW w:w="1359" w:type="dxa"/>
            <w:tmTcPr id="1742289843" protected="0"/>
          </w:tcPr>
          <w:p>
            <w:pPr/>
            <w:r/>
          </w:p>
        </w:tc>
        <w:tc>
          <w:tcPr>
            <w:tcW w:w="1957" w:type="dxa"/>
            <w:tmTcPr id="1742289843" protected="0"/>
          </w:tcPr>
          <w:p>
            <w:pPr/>
            <w:r/>
          </w:p>
        </w:tc>
        <w:tc>
          <w:tcPr>
            <w:tcW w:w="3162" w:type="dxa"/>
            <w:tmTcPr id="1742289843" protected="0"/>
          </w:tcPr>
          <w:p>
            <w:pPr/>
            <w:r/>
          </w:p>
        </w:tc>
        <w:tc>
          <w:tcPr>
            <w:tcW w:w="3162" w:type="dxa"/>
            <w:tmTcPr id="1742289843" protected="0"/>
          </w:tcPr>
          <w:p>
            <w:pPr/>
            <w:r/>
          </w:p>
        </w:tc>
      </w:tr>
      <w:tr>
        <w:trPr>
          <w:tblHeader w:val="0"/>
          <w:cantSplit w:val="0"/>
          <w:trHeight w:val="0" w:hRule="auto"/>
        </w:trPr>
        <w:tc>
          <w:tcPr>
            <w:tcW w:w="1359" w:type="dxa"/>
            <w:tmTcPr id="1742289843" protected="0"/>
          </w:tcPr>
          <w:p>
            <w:pPr/>
            <w:r/>
          </w:p>
        </w:tc>
        <w:tc>
          <w:tcPr>
            <w:tcW w:w="1957" w:type="dxa"/>
            <w:tmTcPr id="1742289843" protected="0"/>
          </w:tcPr>
          <w:p>
            <w:pPr/>
            <w:r/>
          </w:p>
        </w:tc>
        <w:tc>
          <w:tcPr>
            <w:tcW w:w="3162" w:type="dxa"/>
            <w:tmTcPr id="1742289843" protected="0"/>
          </w:tcPr>
          <w:p>
            <w:pPr/>
            <w:r/>
          </w:p>
        </w:tc>
        <w:tc>
          <w:tcPr>
            <w:tcW w:w="3162" w:type="dxa"/>
            <w:tmTcPr id="1742289843" protected="0"/>
          </w:tcPr>
          <w:p>
            <w:pPr/>
            <w:r/>
          </w:p>
        </w:tc>
      </w:tr>
      <w:tr>
        <w:trPr>
          <w:tblHeader w:val="0"/>
          <w:cantSplit w:val="0"/>
          <w:trHeight w:val="0" w:hRule="auto"/>
        </w:trPr>
        <w:tc>
          <w:tcPr>
            <w:tcW w:w="1359" w:type="dxa"/>
            <w:tmTcPr id="1742289843" protected="0"/>
          </w:tcPr>
          <w:p>
            <w:pPr/>
            <w:r/>
          </w:p>
        </w:tc>
        <w:tc>
          <w:tcPr>
            <w:tcW w:w="1957" w:type="dxa"/>
            <w:tmTcPr id="1742289843" protected="0"/>
          </w:tcPr>
          <w:p>
            <w:pPr/>
            <w:r/>
          </w:p>
        </w:tc>
        <w:tc>
          <w:tcPr>
            <w:tcW w:w="3162" w:type="dxa"/>
            <w:tmTcPr id="1742289843" protected="0"/>
          </w:tcPr>
          <w:p>
            <w:pPr/>
            <w:r/>
          </w:p>
        </w:tc>
        <w:tc>
          <w:tcPr>
            <w:tcW w:w="3162" w:type="dxa"/>
            <w:tmTcPr id="1742289843" protected="0"/>
          </w:tcPr>
          <w:p>
            <w:pPr/>
            <w:r/>
          </w:p>
        </w:tc>
      </w:tr>
      <w:tr>
        <w:trPr>
          <w:tblHeader w:val="0"/>
          <w:cantSplit w:val="0"/>
          <w:trHeight w:val="0" w:hRule="auto"/>
        </w:trPr>
        <w:tc>
          <w:tcPr>
            <w:tcW w:w="1359" w:type="dxa"/>
            <w:tmTcPr id="1742289843" protected="0"/>
          </w:tcPr>
          <w:p>
            <w:pPr/>
            <w:r>
              <w:t>2023</w:t>
            </w:r>
          </w:p>
        </w:tc>
        <w:tc>
          <w:tcPr>
            <w:tcW w:w="1957" w:type="dxa"/>
            <w:tmTcPr id="1742289843" protected="0"/>
          </w:tcPr>
          <w:p>
            <w:pPr/>
            <w:r>
              <w:t>2024</w:t>
            </w:r>
          </w:p>
        </w:tc>
        <w:tc>
          <w:tcPr>
            <w:tcW w:w="3162" w:type="dxa"/>
            <w:tmTcPr id="1742289843" protected="0"/>
          </w:tcPr>
          <w:p>
            <w:pPr/>
            <w:r>
              <w:t>10</w:t>
            </w:r>
          </w:p>
        </w:tc>
        <w:tc>
          <w:tcPr>
            <w:tcW w:w="3162" w:type="dxa"/>
            <w:tmTcPr id="1742289843" protected="0"/>
          </w:tcPr>
          <w:p>
            <w:pPr/>
            <w:r>
              <w:t>2023</w:t>
            </w:r>
          </w:p>
        </w:tc>
      </w:tr>
      <w:tr>
        <w:trPr>
          <w:tblHeader w:val="0"/>
          <w:cantSplit w:val="0"/>
          <w:trHeight w:val="0" w:hRule="auto"/>
        </w:trPr>
        <w:tc>
          <w:tcPr>
            <w:tcW w:w="1359" w:type="dxa"/>
            <w:tmTcPr id="1742289843" protected="0"/>
          </w:tcPr>
          <w:p>
            <w:pPr/>
            <w:r>
              <w:t>2025</w:t>
            </w:r>
          </w:p>
        </w:tc>
        <w:tc>
          <w:tcPr>
            <w:tcW w:w="1957" w:type="dxa"/>
            <w:tmTcPr id="1742289843" protected="0"/>
          </w:tcPr>
          <w:p>
            <w:pPr/>
            <w:r>
              <w:t>2024</w:t>
            </w:r>
          </w:p>
        </w:tc>
        <w:tc>
          <w:tcPr>
            <w:tcW w:w="3162" w:type="dxa"/>
            <w:tmTcPr id="1742289843" protected="0"/>
          </w:tcPr>
          <w:p>
            <w:pPr/>
            <w:r>
              <w:t>10</w:t>
            </w:r>
          </w:p>
        </w:tc>
        <w:tc>
          <w:tcPr>
            <w:tcW w:w="3162" w:type="dxa"/>
            <w:tmTcPr id="1742289843" protected="0"/>
          </w:tcPr>
          <w:p>
            <w:pPr/>
            <w:r>
              <w:t>2025</w:t>
            </w:r>
          </w:p>
        </w:tc>
      </w:tr>
    </w:tbl>
    <w:p>
      <w:r/>
    </w:p>
    <w:p>
      <w:r>
        <w:t>Door de herstelacties m.b.t. de contributie in 2023 en 2024 zijn bovenstaande bedragen niet verwerk zoals dit boekhoudkundig gebruikelijk is. Hierdoor is het niet mogelijk om een volledig goed  financieel overzicht te generen</w:t>
      </w:r>
    </w:p>
    <w:p>
      <w:r/>
    </w:p>
    <w:p>
      <w:r>
        <w:t xml:space="preserve">De conclusie uit bovenstaande is dat de boekhoudapplicatie niet om kan gaan met debiteuren en crediteuren admistratie waaronder ook de vooruit betaalde contributie. Hier zal het komend jaar aan gewerkt worden. Door functionele requirements te beschrijven zal ik (Rob Alers) samen met de applicatiebeheerder (Stefan Lobrecht) de applicatie door ontwikkelen. </w:t>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 w:pos="below" w:numFmt="decimal"/>
    <w:caption w:name="Illustratie" w:pos="below" w:numFmt="decimal"/>
    <w:caption w:name="Afbeelding"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3"/>
      <w:tmLastPosIdx w:val="357"/>
    </w:tmLastPosCaret>
    <w:tmLastPosAnchor>
      <w:tmLastPosPgfIdx w:val="0"/>
      <w:tmLastPosIdx w:val="0"/>
    </w:tmLastPosAnchor>
    <w:tmLastPosTblRect w:left="0" w:top="0" w:right="0" w:bottom="0"/>
  </w:tmLastPos>
  <w:tmAppRevision w:date="1742289843"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nl-nl"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ing 4"/>
    <w:qFormat/>
    <w:basedOn w:val="para3"/>
    <w:next w:val="para0"/>
    <w:pPr>
      <w:outlineLvl w:val="3"/>
    </w:pPr>
    <w:rPr>
      <w:sz w:val="26"/>
      <w:szCs w:val="26"/>
    </w:rPr>
    <w:key w:val="1076"/>
  </w:style>
  <w:style w:type="paragraph" w:styleId="para5">
    <w:name w:val="heading 5"/>
    <w:qFormat/>
    <w:basedOn w:val="para4"/>
    <w:next w:val="para0"/>
    <w:pPr>
      <w:outlineLvl w:val="4"/>
    </w:pPr>
    <w:rPr>
      <w:sz w:val="24"/>
      <w:szCs w:val="24"/>
    </w:rPr>
    <w:key w:val="1077"/>
  </w:style>
  <w:style w:type="character" w:styleId="char0" w:default="1">
    <w:name w:val="Default Paragraph Font"/>
  </w:style>
  <w:style w:type="table" w:default="1" w:styleId="TableNormal">
    <w:name w:val="Normale tabel"/>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elraster"/>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nl-nl"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ing 4"/>
    <w:qFormat/>
    <w:basedOn w:val="para3"/>
    <w:next w:val="para0"/>
    <w:pPr>
      <w:outlineLvl w:val="3"/>
    </w:pPr>
    <w:rPr>
      <w:sz w:val="26"/>
      <w:szCs w:val="26"/>
    </w:rPr>
    <w:key w:val="1076"/>
  </w:style>
  <w:style w:type="paragraph" w:styleId="para5">
    <w:name w:val="heading 5"/>
    <w:qFormat/>
    <w:basedOn w:val="para4"/>
    <w:next w:val="para0"/>
    <w:pPr>
      <w:outlineLvl w:val="4"/>
    </w:pPr>
    <w:rPr>
      <w:sz w:val="24"/>
      <w:szCs w:val="24"/>
    </w:rPr>
    <w:key w:val="1077"/>
  </w:style>
  <w:style w:type="character" w:styleId="char0" w:default="1">
    <w:name w:val="Default Paragraph Font"/>
  </w:style>
  <w:style w:type="table" w:default="1" w:styleId="TableNormal">
    <w:name w:val="Normale tabel"/>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elraster"/>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2025-03-14T13:05:20Z</dcterms:created>
  <dcterms:modified xsi:type="dcterms:W3CDTF">2025-03-18T09:24:03Z</dcterms:modified>
</cp:coreProperties>
</file>